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99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3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Kurtenbach Matthew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DAKTRONICS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DAKTRONICS INC /SD/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DAKT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VP of Manufacturing</w:t>
      </w:r>
    </w:p>
    <w:p>
      <w:pPr>
        <w:spacing w:after="0" w:line="333" w:lineRule="exact"/>
        <w:rPr>
          <w:sz w:val="24"/>
          <w:szCs w:val="24"/>
          <w:color w:val="auto"/>
        </w:rPr>
      </w:pPr>
    </w:p>
    <w:p>
      <w:pPr>
        <w:sectPr>
          <w:pgSz w:w="11900" w:h="16838" w:orient="portrait"/>
          <w:cols w:equalWidth="0" w:num="3">
            <w:col w:w="3200" w:space="720"/>
            <w:col w:w="3095" w:space="720"/>
            <w:col w:w="3265"/>
          </w:cols>
          <w:pgMar w:left="460" w:top="219" w:right="439" w:bottom="3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372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5"/>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3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ind w:left="2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BROOKINGS</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SD</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57006</w:t>
            </w: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80" w:type="dxa"/>
            <w:vAlign w:val="bottom"/>
            <w:gridSpan w:val="4"/>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gridSpan w:val="4"/>
          </w:tcPr>
          <w:p>
            <w:pPr>
              <w:ind w:left="16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26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8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2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60" w:type="dxa"/>
            <w:vAlign w:val="bottom"/>
            <w:gridSpan w:val="2"/>
          </w:tcPr>
          <w:p>
            <w:pPr>
              <w:ind w:left="12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60" w:type="dxa"/>
            <w:vAlign w:val="bottom"/>
            <w:gridSpan w:val="2"/>
          </w:tcPr>
          <w:p>
            <w:pPr>
              <w:ind w:left="12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60" w:type="dxa"/>
            <w:vAlign w:val="bottom"/>
            <w:gridSpan w:val="2"/>
          </w:tcPr>
          <w:p>
            <w:pPr>
              <w:ind w:left="12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260" w:type="dxa"/>
            <w:vAlign w:val="bottom"/>
            <w:tcBorders>
              <w:bottom w:val="single" w:sz="8" w:color="2C2C2C"/>
            </w:tcBorders>
            <w:gridSpan w:val="2"/>
          </w:tcPr>
          <w:p>
            <w:pPr>
              <w:ind w:left="1320"/>
              <w:spacing w:after="0"/>
              <w:rPr>
                <w:sz w:val="20"/>
                <w:szCs w:val="20"/>
                <w:color w:val="auto"/>
              </w:rPr>
            </w:pPr>
            <w:r>
              <w:rPr>
                <w:rFonts w:ascii="Times New Roman" w:cs="Times New Roman" w:eastAsia="Times New Roman" w:hAnsi="Times New Roman"/>
                <w:sz w:val="17"/>
                <w:szCs w:val="17"/>
                <w:color w:val="0000FF"/>
              </w:rPr>
              <w:t>12/23/2025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1,800</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311,902.7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86"/>
                <w:vertAlign w:val="subscript"/>
              </w:rPr>
              <w:t>5,000</w:t>
            </w:r>
            <w:r>
              <w:rPr>
                <w:rFonts w:ascii="Times New Roman" w:cs="Times New Roman" w:eastAsia="Times New Roman" w:hAnsi="Times New Roman"/>
                <w:sz w:val="11"/>
                <w:szCs w:val="11"/>
                <w:color w:val="008000"/>
                <w:w w:val="86"/>
              </w:rPr>
              <w:t>(2)(3)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1"/>
              </w:rPr>
              <w:t>21,000</w:t>
            </w:r>
            <w:r>
              <w:rPr>
                <w:rFonts w:ascii="Times New Roman" w:cs="Times New Roman" w:eastAsia="Times New Roman" w:hAnsi="Times New Roman"/>
                <w:sz w:val="22"/>
                <w:szCs w:val="22"/>
                <w:color w:val="008000"/>
                <w:w w:val="91"/>
                <w:vertAlign w:val="superscript"/>
              </w:rPr>
              <w:t>(2)(4)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UTMA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minors</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was gifted 1,800 shares of Daktronics Inc. common stock; 900 shares had a cost basis of $1.01 per share, and the remaining 900 shares had a cost basis of $0.15 per share.</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purposes of Section 16 of the Securities Exchange Act of 1934, as amended ("Section 16"), the Reporting Person disclaims beneficial ownership of any securities reported in this filing, except to the extent of his pecuniary interest therein, if any, and this Amendment shall not be deemed an admission that such Reporting Person is the beneficial owner of such securities for purposes of Section 16 or otherwise.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a trustee of a trust formed for the benefit of a child of the Reporting Person (the "Trust"), the Reporting Person may be deemed to exercise voting and investment power over the shares of common stock of Daktronics, Inc. ("Common Stock") held by the Trust.</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in 3 separate custodial accounts under the Uniform Transfers to Minors Act (the "UTMA"). The Reporting Person is the custodian of the UTMA accounts held for the benefit of his children.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Matthew J. Kurtenbach</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5065" TargetMode="External"/><Relationship Id="rId14" Type="http://schemas.openxmlformats.org/officeDocument/2006/relationships/hyperlink" Target="http://www.sec.gov/cgi-bin/browse-edgar?action=getcompany&amp;CIK=00009157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2026-01-14T15:12:26Z</dcterms:created>
  <dcterms:modified xsi:type="dcterms:W3CDTF">2026-01-14T15:12:26Z</dcterms:modified>
</cp:coreProperties>
</file>